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«ОКПД2 42.22.22.140 Выполнение работ по капитальному ремонту ВЛ 0,4 кВ на территории Чугуевского и Яковлевского районов  СП ПСЭС филиала АО «ДРСК» «Приморские электрические сети»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№25001-РЕМ ПРОД-2026-ДРСК-ПЭС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br w:type="page"/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СОДЕРЖАНИЕ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1.      Общие сведения</w:t>
        <w:tab/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1.1.Обозначения и сокращения</w:t>
        <w:tab/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1.2. Наименование закупаемых работ</w:t>
        <w:tab/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Таблица 1. Перечень объектов Заказчика</w:t>
        <w:tab/>
        <w:t>3</w:t>
      </w:r>
    </w:p>
    <w:p>
      <w:pPr>
        <w:pStyle w:val="Normal"/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color w:val="auto"/>
          <w:sz w:val="26"/>
          <w:szCs w:val="26"/>
          <w:lang w:val="ru-RU" w:eastAsia="ru-RU" w:bidi="ar-SA"/>
        </w:rPr>
      </w:pPr>
      <w:r>
        <w:rPr>
          <w:rFonts w:eastAsia="Times New Roman" w:cs="Calibri" w:ascii="Liberation Serif" w:hAnsi="Liberation Serif"/>
          <w:b w:val="false"/>
          <w:bCs w:val="false"/>
          <w:i/>
          <w:color w:val="auto"/>
          <w:sz w:val="26"/>
          <w:szCs w:val="26"/>
          <w:lang w:val="ru-RU" w:eastAsia="ru-RU" w:bidi="ar-SA"/>
        </w:rPr>
        <w:t>1.3.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договора)…………………………………………………..…....4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Таблица 2. Список материалов, </w:t>
      </w:r>
      <w:r>
        <w:rPr>
          <w:rFonts w:eastAsia="Times New Roman" w:cs="Calibri" w:ascii="Liberation Serif" w:hAnsi="Liberation Serif"/>
          <w:b w:val="false"/>
          <w:bCs w:val="false"/>
          <w:i/>
          <w:color w:val="auto"/>
          <w:sz w:val="26"/>
          <w:szCs w:val="26"/>
          <w:lang w:val="ru-RU" w:eastAsia="ru-RU" w:bidi="ar-SA"/>
        </w:rPr>
        <w:t>передаваемых Заказчиком Подрядчику….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………..…...…..4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2.</w:t>
        <w:tab/>
        <w:t>Требования к продукции</w:t>
        <w:tab/>
        <w:t>.5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Таблица 3. Перечень и объем выполняемых работ</w:t>
        <w:tab/>
        <w:t>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Таблица 4. Требования по срокам выполнения работ</w:t>
        <w:tab/>
        <w:t>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Таблица 5. Требования к качеству работ</w:t>
        <w:tab/>
        <w:t>6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3.</w:t>
        <w:tab/>
        <w:t>Требования к документации по ценообразованию на этапе закупки</w:t>
        <w:tab/>
        <w:t>10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4.</w:t>
        <w:tab/>
        <w:t>Требования к документации по ценообразованию на этапе заключения (исполнения) договора…………………………………………………………………………………………….…….10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5.</w:t>
        <w:tab/>
        <w:t>Приложения</w:t>
        <w:tab/>
        <w:t>10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</w:r>
      <w:r>
        <w:br w:type="page"/>
      </w:r>
    </w:p>
    <w:p>
      <w:pPr>
        <w:pStyle w:val="Normal"/>
        <w:keepNext w:val="true"/>
        <w:keepLines/>
        <w:jc w:val="center"/>
        <w:rPr>
          <w:rFonts w:ascii="Liberation Serif" w:hAnsi="Liberation Serif"/>
          <w:b/>
          <w:sz w:val="24"/>
          <w:szCs w:val="24"/>
        </w:rPr>
      </w:pPr>
      <w:bookmarkStart w:id="0" w:name="__RefHeading___Toc126314953"/>
      <w:bookmarkEnd w:id="0"/>
      <w:r>
        <w:rPr>
          <w:rFonts w:ascii="Liberation Serif" w:hAnsi="Liberation Serif"/>
          <w:b/>
          <w:sz w:val="24"/>
          <w:szCs w:val="24"/>
        </w:rPr>
        <w:t>1. Общие сведения</w:t>
      </w:r>
    </w:p>
    <w:p>
      <w:pPr>
        <w:pStyle w:val="Heading4"/>
        <w:numPr>
          <w:ilvl w:val="0"/>
          <w:numId w:val="0"/>
        </w:numPr>
        <w:ind w:left="0" w:hanging="0"/>
        <w:rPr>
          <w:rFonts w:ascii="Liberation Serif" w:hAnsi="Liberation Serif"/>
          <w:sz w:val="24"/>
          <w:szCs w:val="24"/>
        </w:rPr>
      </w:pPr>
      <w:bookmarkStart w:id="1" w:name="__RefHeading___Toc126314954"/>
      <w:bookmarkEnd w:id="1"/>
      <w:r>
        <w:rPr>
          <w:rFonts w:ascii="Liberation Serif" w:hAnsi="Liberation Serif"/>
          <w:sz w:val="24"/>
          <w:szCs w:val="24"/>
        </w:rPr>
        <w:t xml:space="preserve">1.1. </w:t>
      </w:r>
      <w:r>
        <w:rPr>
          <w:rFonts w:cs="Liberation Serif;Times New Roman" w:ascii="Liberation Serif;Times New Roman" w:hAnsi="Liberation Serif;Times New Roman"/>
          <w:b/>
          <w:bCs/>
          <w:sz w:val="24"/>
          <w:szCs w:val="24"/>
        </w:rPr>
        <w:t>Обозначения и сокращения</w:t>
      </w:r>
    </w:p>
    <w:tbl>
      <w:tblPr>
        <w:tblW w:w="9931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814"/>
        <w:gridCol w:w="8116"/>
      </w:tblGrid>
      <w:tr>
        <w:trPr/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widowControl w:val="false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</w:rPr>
              <w:t>ВЛ</w:t>
            </w:r>
          </w:p>
        </w:tc>
        <w:tc>
          <w:tcPr>
            <w:tcW w:w="8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cs="Liberation Serif;Times New Roman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i w:val="false"/>
                <w:iCs w:val="false"/>
                <w:sz w:val="24"/>
                <w:szCs w:val="24"/>
                <w:shd w:fill="auto" w:val="clear"/>
              </w:rPr>
              <w:t>Воздушная линия электропередачи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widowControl w:val="false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ВДиОР</w:t>
            </w:r>
          </w:p>
        </w:tc>
        <w:tc>
          <w:tcPr>
            <w:tcW w:w="8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Ведомостью дефектов и объемов работ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widowControl w:val="false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ППР</w:t>
            </w:r>
          </w:p>
        </w:tc>
        <w:tc>
          <w:tcPr>
            <w:tcW w:w="8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cs="Liberation Serif;Times New Roman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i w:val="false"/>
                <w:iCs w:val="false"/>
                <w:sz w:val="24"/>
                <w:szCs w:val="24"/>
                <w:shd w:fill="auto" w:val="clear"/>
              </w:rPr>
              <w:t>Проект производства работ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РЭС</w:t>
            </w:r>
          </w:p>
        </w:tc>
        <w:tc>
          <w:tcPr>
            <w:tcW w:w="8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Район электрических сетей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СП</w:t>
            </w:r>
          </w:p>
        </w:tc>
        <w:tc>
          <w:tcPr>
            <w:tcW w:w="8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Структурное подразделение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ПСЭС</w:t>
            </w:r>
          </w:p>
        </w:tc>
        <w:tc>
          <w:tcPr>
            <w:tcW w:w="81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Приморские северные электрические сети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1.2. Наименование закупаем</w:t>
      </w:r>
      <w:r>
        <w:rPr>
          <w:rFonts w:ascii="Liberation Serif" w:hAnsi="Liberation Serif"/>
          <w:sz w:val="24"/>
          <w:szCs w:val="24"/>
          <w:lang w:val="ru-RU"/>
        </w:rPr>
        <w:t>ых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val="ru-RU"/>
        </w:rPr>
        <w:t>работ</w:t>
      </w:r>
    </w:p>
    <w:p>
      <w:pPr>
        <w:pStyle w:val="Normal"/>
        <w:widowControl w:val="false"/>
        <w:tabs>
          <w:tab w:val="clear" w:pos="245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  <w:t>ОКПД2 42.22.22.140 Выполнение работ по капитальному ремонту ВЛ 0,4 кВ на территории Чугуевского и Яковлевского районов  СП ПСЭС филиала АО «ДРСК» «Приморские электрические сети»</w:t>
      </w:r>
    </w:p>
    <w:p>
      <w:pPr>
        <w:pStyle w:val="Normal"/>
        <w:widowControl w:val="false"/>
        <w:tabs>
          <w:tab w:val="clear" w:pos="245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</w:r>
    </w:p>
    <w:p>
      <w:pPr>
        <w:pStyle w:val="Heading1"/>
        <w:keepLines/>
        <w:numPr>
          <w:ilvl w:val="0"/>
        </w:numPr>
        <w:spacing w:before="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bookmarkStart w:id="2" w:name="__RefHeading___Toc126314955"/>
      <w:bookmarkEnd w:id="2"/>
      <w:r>
        <w:rPr>
          <w:rFonts w:ascii="Liberation Serif" w:hAnsi="Liberation Serif"/>
          <w:sz w:val="24"/>
          <w:szCs w:val="24"/>
          <w:lang w:val="ru-RU"/>
        </w:rPr>
        <w:t>Таблица 1. Перечень объектов Заказчика</w:t>
      </w:r>
    </w:p>
    <w:tbl>
      <w:tblPr>
        <w:tblW w:w="10094" w:type="dxa"/>
        <w:jc w:val="left"/>
        <w:tblInd w:w="-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197"/>
        <w:gridCol w:w="2206"/>
        <w:gridCol w:w="2729"/>
        <w:gridCol w:w="2505"/>
      </w:tblGrid>
      <w:tr>
        <w:trPr/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Расположение объекта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Наименование основного средства 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>
        <w:trPr>
          <w:trHeight w:val="45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6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Капитальный ремонт </w:t>
            </w:r>
            <w:r>
              <w:rPr>
                <w:sz w:val="24"/>
                <w:szCs w:val="24"/>
              </w:rPr>
              <w:t>ВЛ-0,4кВ с. Чугуевка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Приморский край, Чугуевский муниципальный округ, с.Чугуевка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ВЛ-0,4КВ С,ЧУГУЕВКА L=158.85КМ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 № PR0010259</w:t>
            </w:r>
          </w:p>
        </w:tc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 xml:space="preserve">Эксплуатирующая организация: СП «Приморские северные электрические сети»   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>филиала ПЭС</w:t>
            </w:r>
          </w:p>
        </w:tc>
      </w:tr>
      <w:tr>
        <w:trPr>
          <w:trHeight w:val="405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6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Капитальный ремонт </w:t>
            </w:r>
            <w:r>
              <w:rPr>
                <w:sz w:val="24"/>
                <w:szCs w:val="24"/>
              </w:rPr>
              <w:t>ВЛ-0,4кВ с. Изюбринный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Приморский край, Чугуевский муниципальный округ, с.Изюбринный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ВЛ-0,4 Ф-1 от опоры №20 ТП-3172 L=0,191 Чугуевский р-он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с. Изюбринный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ул. Центральная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 № PR0039037</w:t>
            </w:r>
          </w:p>
        </w:tc>
        <w:tc>
          <w:tcPr>
            <w:tcW w:w="2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6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Капитальный ремонт </w:t>
            </w:r>
            <w:r>
              <w:rPr>
                <w:sz w:val="24"/>
                <w:szCs w:val="24"/>
              </w:rPr>
              <w:t>ВЛ-0,4 кВ с. Ленино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Приморский край, Чугуевский муниципальный округ, с.Ленино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ВЛ-0.4кВ от оп.№- Ф-2 КТП-3231 L=0,273 км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с. Ленино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 № PR0031725</w:t>
            </w:r>
          </w:p>
        </w:tc>
        <w:tc>
          <w:tcPr>
            <w:tcW w:w="2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6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Капитальный ремонт </w:t>
            </w:r>
            <w:r>
              <w:rPr>
                <w:sz w:val="24"/>
                <w:szCs w:val="24"/>
              </w:rPr>
              <w:t>ВЛ-0,4 кВ с. Верхняя Бреевка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Приморский край, </w:t>
            </w:r>
            <w:r>
              <w:rPr>
                <w:rFonts w:eastAsia="Times New Roman"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  <w:lang w:val="ru-RU" w:bidi="ar-SA"/>
              </w:rPr>
              <w:t xml:space="preserve">  </w:t>
            </w:r>
            <w:r>
              <w:rPr>
                <w:rFonts w:eastAsia="Times New Roman"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  <w:lang w:val="ru-RU" w:bidi="ar-SA"/>
              </w:rPr>
              <w:t>Чугуевский муниципальный округ, с.Верхняя Бреевка</w:t>
            </w:r>
          </w:p>
        </w:tc>
        <w:tc>
          <w:tcPr>
            <w:tcW w:w="27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ВЛ-0,4 КВ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С. В-БРЕЕВКА L=20,35КМ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 № PR0010223</w:t>
            </w:r>
          </w:p>
        </w:tc>
        <w:tc>
          <w:tcPr>
            <w:tcW w:w="2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6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2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Капитальный ремонт </w:t>
            </w:r>
            <w:r>
              <w:rPr>
                <w:sz w:val="24"/>
                <w:szCs w:val="24"/>
              </w:rPr>
              <w:t>ВЛ-0,4 кВ ст. Варфоломеевка</w:t>
            </w:r>
          </w:p>
        </w:tc>
        <w:tc>
          <w:tcPr>
            <w:tcW w:w="220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Приморский край, Яковлевский муниципальный округ, с.Варфоломеевка</w:t>
            </w:r>
          </w:p>
        </w:tc>
        <w:tc>
          <w:tcPr>
            <w:tcW w:w="272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ВЛ-0.4 КВ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ст. Варфоломеевка L=1,87 КМ.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 № PR0011152</w:t>
            </w:r>
          </w:p>
        </w:tc>
        <w:tc>
          <w:tcPr>
            <w:tcW w:w="25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245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</w:p>
    <w:p>
      <w:pPr>
        <w:pStyle w:val="Normal"/>
        <w:tabs>
          <w:tab w:val="clear" w:pos="245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r>
        <w:rPr>
          <w:rFonts w:ascii="Liberation Serif" w:hAnsi="Liberation Serif"/>
          <w:sz w:val="24"/>
          <w:szCs w:val="24"/>
        </w:rPr>
        <w:t>Работы производятся в охранной зоне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№ 903н в редакции от 29.04.2022г., СНиП 12-01-2004 п.4, СП 12-03-2001. ч.1, СНиП 12-04-2002. ч.2, СП 45.13330.2017, СП 76.13330.2016.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>1.3.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</w:p>
    <w:p>
      <w:pPr>
        <w:pStyle w:val="Normal"/>
        <w:ind w:left="357" w:right="0" w:hanging="357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 xml:space="preserve">1.3.1.  Заказчик передает Подрядчику со складов филиала АО «ДРСК» - «Приморские электрические сети» следующие материалы: </w:t>
      </w:r>
    </w:p>
    <w:p>
      <w:pPr>
        <w:pStyle w:val="Heading1"/>
        <w:numPr>
          <w:ilvl w:val="0"/>
        </w:numPr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 xml:space="preserve">Таблица 2. Список МТР, передаваемых от Заказчика Подрядчику </w:t>
      </w:r>
    </w:p>
    <w:tbl>
      <w:tblPr>
        <w:tblW w:w="10200" w:type="dxa"/>
        <w:jc w:val="left"/>
        <w:tblInd w:w="9" w:type="dxa"/>
        <w:tblLayout w:type="fixed"/>
        <w:tblCellMar>
          <w:top w:w="0" w:type="dxa"/>
          <w:left w:w="48" w:type="dxa"/>
          <w:bottom w:w="0" w:type="dxa"/>
          <w:right w:w="108" w:type="dxa"/>
        </w:tblCellMar>
      </w:tblPr>
      <w:tblGrid>
        <w:gridCol w:w="720"/>
        <w:gridCol w:w="6420"/>
        <w:gridCol w:w="1304"/>
        <w:gridCol w:w="1755"/>
      </w:tblGrid>
      <w:tr>
        <w:trPr>
          <w:trHeight w:val="333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№</w:t>
            </w: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п.п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>
        <w:trPr>
          <w:trHeight w:val="283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ВЛ-0,4кВ с.Чугуевка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74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3х50+1х50-0,6/1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310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4х16-0,6/1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500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3х50+1х54,6-0,6/1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560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1080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3х70+1х70-0,6/1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170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3х95+1х95-0,6/1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670</w:t>
            </w:r>
          </w:p>
        </w:tc>
      </w:tr>
      <w:tr>
        <w:trPr>
          <w:trHeight w:val="409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bidi w:val="0"/>
              <w:rPr>
                <w:rFonts w:ascii="Liberation Serif" w:hAnsi="Liberation Serif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ВЛ-0,4кВ с.Изюбринный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38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3х50+1х54,6-0,6/1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940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500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4х16-0,6/1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120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bidi w:val="0"/>
              <w:rPr>
                <w:rFonts w:ascii="Liberation Serif" w:hAnsi="Liberation Serif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 xml:space="preserve">ВЛ-0,4 кВ с.Ленино 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 w:val="false"/>
                <w:bCs w:val="false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126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3.2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3х50+1х50-0,6/1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1930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 w:val="false"/>
                <w:bCs w:val="false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6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1480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 w:val="false"/>
                <w:bCs w:val="false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3х70+1х70-0,6/1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1890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bidi w:val="0"/>
              <w:rPr>
                <w:rFonts w:ascii="Liberation Serif" w:hAnsi="Liberation Serif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ВЛ-0,4 кВ с.В.Бреевка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63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3х50+1х54,6-0,6/1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908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3х35+1х50-0,6/1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240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627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4х16-0,6/1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142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bidi w:val="0"/>
              <w:rPr>
                <w:rFonts w:ascii="Liberation Serif" w:hAnsi="Liberation Serif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Liberation Serif" w:hAnsi="Liberation Serif"/>
                <w:b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ВЛ-0,4 кВ ст.Варфоломеевка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3х50+1х50-0,6/1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1730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6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4х16-0,6/1</w:t>
            </w:r>
          </w:p>
        </w:tc>
        <w:tc>
          <w:tcPr>
            <w:tcW w:w="13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7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210</w:t>
            </w:r>
          </w:p>
        </w:tc>
      </w:tr>
    </w:tbl>
    <w:p>
      <w:pPr>
        <w:pStyle w:val="Normal"/>
        <w:ind w:left="0" w:righ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6"/>
          <w:szCs w:val="26"/>
        </w:rPr>
        <w:t xml:space="preserve">1.3.2. </w:t>
      </w:r>
      <w:r>
        <w:rPr>
          <w:b w:val="false"/>
          <w:bCs w:val="false"/>
          <w:i w:val="false"/>
          <w:iCs w:val="false"/>
          <w:color w:val="000000"/>
          <w:sz w:val="26"/>
          <w:szCs w:val="26"/>
        </w:rPr>
        <w:t xml:space="preserve">Давальческие материалы завозятся на объект Подрядчиком самостоятельно. Порядок передачи и учета Давальческих материалов указан в Приложении № 10 к  Договору подряда.  </w:t>
      </w:r>
      <w:r>
        <w:rPr>
          <w:sz w:val="26"/>
          <w:szCs w:val="26"/>
        </w:rPr>
        <w:t xml:space="preserve">                  </w:t>
      </w:r>
    </w:p>
    <w:p>
      <w:pPr>
        <w:pStyle w:val="Normal"/>
        <w:jc w:val="both"/>
        <w:rPr/>
      </w:pPr>
      <w:r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</w:rPr>
        <w:t>1.3.3. Все остальные необходимые материалы для выполнения указанных работ в ведомостях дефектов и объемов работ (Приложения 1.1-1.5) приобретаются и завозятся на объект Подрядчиком самостоятельно.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sz w:val="24"/>
          <w:szCs w:val="24"/>
        </w:rPr>
      </w:pPr>
      <w:bookmarkStart w:id="3" w:name="__RefHeading___Toc126314959"/>
      <w:bookmarkStart w:id="4" w:name="_Hlk48209761"/>
      <w:bookmarkEnd w:id="3"/>
      <w:bookmarkEnd w:id="4"/>
      <w:r>
        <w:rPr>
          <w:rFonts w:ascii="Liberation Serif" w:hAnsi="Liberation Serif"/>
          <w:iCs/>
          <w:sz w:val="24"/>
          <w:szCs w:val="24"/>
        </w:rPr>
        <w:t>2. Требования к продукции</w:t>
      </w:r>
    </w:p>
    <w:p>
      <w:pPr>
        <w:pStyle w:val="Heading1"/>
        <w:keepLines/>
        <w:numPr>
          <w:ilvl w:val="0"/>
        </w:numPr>
        <w:spacing w:before="24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bookmarkStart w:id="5" w:name="__RefHeading___Toc126314962"/>
      <w:bookmarkEnd w:id="5"/>
      <w:r>
        <w:rPr>
          <w:rFonts w:ascii="Liberation Serif" w:hAnsi="Liberation Serif"/>
          <w:sz w:val="24"/>
          <w:szCs w:val="24"/>
          <w:lang w:val="ru-RU"/>
        </w:rPr>
        <w:t>Таблица 3. Перечень и объем выполняемых работ</w:t>
      </w:r>
    </w:p>
    <w:tbl>
      <w:tblPr>
        <w:tblW w:w="1007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905"/>
        <w:gridCol w:w="2929"/>
        <w:gridCol w:w="2390"/>
      </w:tblGrid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5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–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Замена опор,</w:t>
            </w:r>
          </w:p>
          <w:p>
            <w:pPr>
              <w:pStyle w:val="Normal"/>
              <w:widowControl w:val="false"/>
              <w:suppressAutoHyphens w:val="tru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–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Замена провода,</w:t>
            </w:r>
          </w:p>
          <w:p>
            <w:pPr>
              <w:pStyle w:val="Normal"/>
              <w:widowControl w:val="false"/>
              <w:suppressAutoHyphens w:val="tru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–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Замена ответвлений к зданиям.</w:t>
            </w:r>
          </w:p>
        </w:tc>
        <w:tc>
          <w:tcPr>
            <w:tcW w:w="5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1.1. -1.5.)</w:t>
            </w:r>
          </w:p>
        </w:tc>
      </w:tr>
    </w:tbl>
    <w:p>
      <w:pPr>
        <w:pStyle w:val="Heading1"/>
        <w:keepLines/>
        <w:numPr>
          <w:ilvl w:val="0"/>
        </w:numPr>
        <w:spacing w:before="24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bookmarkStart w:id="6" w:name="__RefHeading___Toc126314964"/>
      <w:bookmarkEnd w:id="6"/>
      <w:r>
        <w:rPr>
          <w:rFonts w:ascii="Liberation Serif" w:hAnsi="Liberation Serif"/>
          <w:sz w:val="24"/>
          <w:szCs w:val="24"/>
          <w:lang w:val="ru-RU"/>
        </w:rPr>
        <w:t xml:space="preserve">Таблица 4. </w:t>
      </w:r>
      <w:bookmarkStart w:id="7" w:name="_Hlk50465284"/>
      <w:r>
        <w:rPr>
          <w:rFonts w:ascii="Liberation Serif" w:hAnsi="Liberation Serif"/>
          <w:sz w:val="24"/>
          <w:szCs w:val="24"/>
          <w:lang w:val="ru-RU"/>
        </w:rPr>
        <w:t xml:space="preserve">Требования по срокам </w:t>
      </w:r>
      <w:bookmarkEnd w:id="7"/>
      <w:r>
        <w:rPr>
          <w:rFonts w:ascii="Liberation Serif" w:hAnsi="Liberation Serif"/>
          <w:sz w:val="24"/>
          <w:szCs w:val="24"/>
          <w:lang w:val="ru-RU"/>
        </w:rPr>
        <w:t>выполнения работ</w:t>
      </w:r>
    </w:p>
    <w:tbl>
      <w:tblPr>
        <w:tblW w:w="10183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879"/>
        <w:gridCol w:w="2490"/>
        <w:gridCol w:w="2997"/>
      </w:tblGrid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>
          <w:trHeight w:val="503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7"/>
              </w:numPr>
              <w:suppressAutoHyphens w:val="true"/>
              <w:snapToGrid w:val="false"/>
              <w:ind w:left="360" w:right="0" w:hanging="3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Капитальный ремонт</w:t>
            </w:r>
            <w:r>
              <w:rPr>
                <w:sz w:val="24"/>
                <w:szCs w:val="24"/>
              </w:rPr>
              <w:t xml:space="preserve"> ВЛ-0,4кВ с.Чугуевка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 даты следующей за датой заключения договора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80 дней с даты заключения договора</w:t>
            </w:r>
          </w:p>
        </w:tc>
      </w:tr>
      <w:tr>
        <w:trPr>
          <w:trHeight w:val="675" w:hRule="exac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7"/>
              </w:numPr>
              <w:suppressAutoHyphens w:val="true"/>
              <w:snapToGrid w:val="false"/>
              <w:ind w:left="360" w:right="0" w:hanging="3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Капитальный ремонт</w:t>
            </w:r>
            <w:r>
              <w:rPr>
                <w:sz w:val="24"/>
                <w:szCs w:val="24"/>
              </w:rPr>
              <w:t xml:space="preserve"> ВЛ-0,4кВ с.Изюбринный</w:t>
            </w:r>
          </w:p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80 дней с даты заключения договора</w:t>
            </w:r>
          </w:p>
        </w:tc>
      </w:tr>
      <w:tr>
        <w:trPr>
          <w:trHeight w:val="625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7"/>
              </w:numPr>
              <w:suppressAutoHyphens w:val="true"/>
              <w:snapToGrid w:val="false"/>
              <w:ind w:left="360" w:right="0" w:hanging="3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Капитальный ремонт</w:t>
            </w:r>
            <w:r>
              <w:rPr>
                <w:sz w:val="24"/>
                <w:szCs w:val="24"/>
              </w:rPr>
              <w:t xml:space="preserve"> ВЛ-0,4 кВ с.Ленино</w:t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80 дней с даты заключения договора</w:t>
            </w:r>
          </w:p>
        </w:tc>
      </w:tr>
      <w:tr>
        <w:trPr/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7"/>
              </w:numPr>
              <w:suppressAutoHyphens w:val="true"/>
              <w:snapToGrid w:val="false"/>
              <w:ind w:left="360" w:right="0" w:hanging="3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Капитальный ремонт</w:t>
            </w:r>
            <w:r>
              <w:rPr>
                <w:sz w:val="24"/>
                <w:szCs w:val="24"/>
              </w:rPr>
              <w:t xml:space="preserve"> ВЛ-0,4 кВ ВЛ-0,4 кВ с.Верхняя Бреевка</w:t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80 дней с даты заключения договора</w:t>
            </w:r>
          </w:p>
        </w:tc>
      </w:tr>
      <w:tr>
        <w:trPr/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7"/>
              </w:numPr>
              <w:suppressAutoHyphens w:val="true"/>
              <w:snapToGrid w:val="false"/>
              <w:ind w:left="360" w:right="0" w:hanging="3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Капитальный ремонт</w:t>
            </w:r>
            <w:r>
              <w:rPr>
                <w:sz w:val="24"/>
                <w:szCs w:val="24"/>
              </w:rPr>
              <w:t xml:space="preserve"> ВЛ-0,4 кВ </w:t>
            </w:r>
          </w:p>
          <w:p>
            <w:pPr>
              <w:pStyle w:val="Style52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с.Варфоломеевка</w:t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80 дней с даты заключения договора</w:t>
            </w:r>
          </w:p>
        </w:tc>
      </w:tr>
    </w:tbl>
    <w:p>
      <w:pPr>
        <w:pStyle w:val="Heading1"/>
        <w:keepLines/>
        <w:numPr>
          <w:ilvl w:val="0"/>
        </w:numPr>
        <w:spacing w:before="240" w:after="240"/>
        <w:ind w:left="0" w:right="0" w:hanging="0"/>
        <w:rPr>
          <w:rFonts w:ascii="Liberation Serif" w:hAnsi="Liberation Serif"/>
          <w:sz w:val="24"/>
          <w:szCs w:val="24"/>
        </w:rPr>
      </w:pPr>
      <w:bookmarkStart w:id="8" w:name="__RefHeading___Toc126314966"/>
      <w:bookmarkEnd w:id="8"/>
      <w:r>
        <w:rPr>
          <w:rFonts w:ascii="Liberation Serif" w:hAnsi="Liberation Serif"/>
          <w:sz w:val="24"/>
          <w:szCs w:val="24"/>
        </w:rPr>
        <w:t>Таблица </w:t>
      </w:r>
      <w:r>
        <w:rPr>
          <w:rFonts w:ascii="Liberation Serif" w:hAnsi="Liberation Serif"/>
          <w:sz w:val="24"/>
          <w:szCs w:val="24"/>
          <w:lang w:val="ru-RU"/>
        </w:rPr>
        <w:t>5</w:t>
      </w:r>
      <w:r>
        <w:rPr>
          <w:rFonts w:ascii="Liberation Serif" w:hAnsi="Liberation Serif"/>
          <w:sz w:val="24"/>
          <w:szCs w:val="24"/>
        </w:rPr>
        <w:t xml:space="preserve">. Требования к </w:t>
      </w:r>
      <w:r>
        <w:rPr>
          <w:rFonts w:ascii="Liberation Serif" w:hAnsi="Liberation Serif"/>
          <w:sz w:val="24"/>
          <w:szCs w:val="24"/>
          <w:lang w:val="ru-RU"/>
        </w:rPr>
        <w:t>качеству работ</w:t>
      </w:r>
      <w:r>
        <w:rPr>
          <w:rFonts w:ascii="Liberation Serif" w:hAnsi="Liberation Serif"/>
          <w:sz w:val="24"/>
          <w:szCs w:val="24"/>
        </w:rPr>
        <w:t xml:space="preserve"> </w:t>
      </w:r>
    </w:p>
    <w:tbl>
      <w:tblPr>
        <w:tblW w:w="10188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030"/>
        <w:gridCol w:w="4773"/>
        <w:gridCol w:w="2562"/>
      </w:tblGrid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Подтверждение участником соответствия в виде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val="ru-RU" w:eastAsia="ru-RU" w:bidi="ar-SA"/>
              </w:rPr>
              <w:t>согласия с требованием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2"/>
              </w:numPr>
              <w:snapToGrid w:val="false"/>
              <w:spacing w:before="60" w:after="60"/>
              <w:ind w:left="360" w:right="0" w:hanging="360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Строительно-монтажные работы Подрядчик выполняет в соответствии с согласованной Заказчиком рабочей документацией, в объёме данных технических требований.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Перед началом работ Подрядчик выполняет организационно - технические мероприятия, обеспечивающие безопасное выполнение работ (назначение ответственного лица на объекте, извещение заинтересованных организаций и сетедержателей о начале выполнения работ в подконтрольной зоне их объектов, разработка проекта производства работ (ППР) и получение всех необходимых согласований).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организует доставку персонала к местам производите работ и, при необходимости, создает условия для проживания своего персонала на объекте.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персонал на рабочих местах средствами связи для ежедневного допуска и контроля за ходом выполнения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1.1.4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организует перебазировку специальной техники и обеспечивает ее эксплуатацию в течении всего периода выполнения работ. Исходя из условий работ Подрядчик обеспечивает комплектование техники необходимыми защитными средствами, приспособлениями и оснасткой.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 учетом времени года и трасс ВЛ для выполнения работ Подрядчик привлекает необходимую высокопроходимую специализированную технику.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1.1.5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доставку на объект всех необходимых материалов, в том числе давальческих материалов, полученных на складе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1.1.6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передает Заказчику демонтированные материалы и оборудование, высвобождаемое после демонтажа, с оформлением Акта передачи демонтированных материалов и оборудования на склад базы соответствующего РЭС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1.1.7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После завершения работ на объекте Подрядчик: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выполняет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предъявляет рабочее место представителю Заказчика и подписывает Акт приемки объекта после ремонта.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Работы выполняются  Подрядчиком в соответствии с Проектом производства работ (ППР) и Графиком выполнения работ, разработанными Подрядчиком и согласованными Заказчиком. ППР Подрядчику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1.2.2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Заявка на вывод оборудования в ремонт (отключение оборудования от напряжения) подается Подрядчиком не позднее, чем за 10 дней до начала производства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Обязательное выполнение персоналом Подрядчика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Эскизы предупреждающих плакатов согласовать с Заказчиком.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>
          <w:trHeight w:val="2043" w:hRule="atLeast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1.3.1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Материалы, предоставляемые Подрядчиком должны соответствовать </w:t>
            </w: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государственным стандартам, техническим условиям и иметь соответствующие сертификаты,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технические паспорта или другие документы, удостоверяющие их качество. </w:t>
            </w:r>
            <w:r>
              <w:rPr>
                <w:i w:val="false"/>
                <w:iCs w:val="false"/>
                <w:kern w:val="0"/>
                <w:sz w:val="24"/>
                <w:szCs w:val="24"/>
              </w:rPr>
              <w:t>Оборудование и материалы доставляются к месту производства работ Подрядчиком самостоятельно готовыми к применению.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Тип и марка применяемых материалов перед приобретением согласовываются с Заказчиком.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737" w:hRule="atLeast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1.3.2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Применяемые материалы и оборудование должны быть новыми, не использованными ранее.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Под новым следует понимать материалы и оборудование, которые не были в употреблении, не проходили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245"/>
                <w:tab w:val="left" w:pos="426" w:leader="none"/>
              </w:tabs>
              <w:spacing w:before="60"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Обеспечение Подрядчиком внутреннего строительного контроля в соответствии с требованиями Постановления Правительства РФ от 21.06.2010 № 468 (ред. От 06.05.2024)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Подрядчиком должен быть обеспечен беспрепятственный доступ представителям Заказчика на строительную площадку в течение всего периода производства работ. Указания представителей Заказчика и/или лиц, осуществляющих технический надзор Заказчика, являются обязательными и подлежат беспрекословному выполнению Подрядчиком.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1.4.4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нарушении Подрядчиком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 Заказчика, и Подрядчику устанавливается срок устранения нарушения. После устранения нарушения Заказчик принимает решение о продолжении выполнения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1.5.1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при выполнении работ на объекте: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качественный и количественный состав бригады в соответствии с требованиями Правил по охране труда при эксплуатации электроустановок, утвержденных приказом Министерства труда и социальной защиты РФ от 15.12.2020 № 903н (ред. от 29.04.2022) на каждом рабочем месте;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обязательное выполнение персоналом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работ, не связанных с выводом оборудования в ремонт (когда оборудование не отключено от напряжения), Подрядчик при выполнении работ на объекте: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обеспечивает применение работниками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опознавательных жилетов-накидок. 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обеспечивает применение работниками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средства индивидуальной защиты (комплекты) от термических рисков электрической дуги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при выполнении работ на объекте: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без снятия напряжения с электроустановки, выполняемые с прикосновением к токоведущим частям, находящимся под напряжением или на расстоянии от этих токоведущих частей, менее допустимых, указанных в п. 3.3. и п. 47.15 Правил по охране труда при эксплуатации электроустановок, от 15.12.2020 No 903н;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испытание оборудования повышенным напряжением;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Внешний вид комплектов и жилетов-накидок должен соответствовать требованиям каталога специальной одежды и средств индивидуальной защиты.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самостоятельно и за свой счет (без требования дополнительной оплаты от Заказчика) осуществляет приобретение специальной одежды.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 случае привлечения к выполнению работ по Договору субподрядчиков Подрядчик обязан обеспечить выполнение данного требования работниками субподрядных организаций, выполняющих работы на объектах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1.6.1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выполнение работ в соответствии с действующими редакциями государственных норм, правил, технических регламентов:</w:t>
            </w:r>
          </w:p>
          <w:p>
            <w:pPr>
              <w:pStyle w:val="Normal"/>
              <w:widowControl w:val="false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Правила технической эксплуатации электрических станций и сетей РФ, утверждены Приказом Министерства энергетики РФ от 4 октября 2022 года № 1070;</w:t>
            </w:r>
          </w:p>
          <w:p>
            <w:pPr>
              <w:pStyle w:val="Normal"/>
              <w:widowControl w:val="false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СП 48.13330.2019 "СНиП 12-01-2004 «Организация строительства»;</w:t>
            </w:r>
          </w:p>
          <w:p>
            <w:pPr>
              <w:pStyle w:val="Normal"/>
              <w:widowControl w:val="false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widowControl w:val="false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 1479 «О противопожарном режиме».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1.6.2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 выполнении работ Подрядчик обеспечивает соблюдение требований Правил по охране труда при эксплуатации электроустановок (Приказ от 15.12.2020 № </w:t>
            </w:r>
            <w:r>
              <w:rPr>
                <w:rFonts w:ascii="Liberation Serif" w:hAnsi="Liberation Serif"/>
                <w:bCs/>
                <w:i w:val="false"/>
                <w:iCs w:val="false"/>
                <w:sz w:val="24"/>
                <w:szCs w:val="24"/>
              </w:rPr>
              <w:t>903Н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ред. Приказа  Минтруда России от 29.04.2022 N 279н (в ред. Приказа Минтруда РФ от 29.04.2025 N 287н)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1.6.3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Обеспечение Подрядчиком внутреннего строительного контроля при выполнении работ соблюдение требований Постановления Правительства РФ от 21.06.2010 N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(в ред. Постановления Правительства РФ от 06.05.224 N 589).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1.6.4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45"/>
                <w:tab w:val="left" w:pos="851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 Подрядчик обеспечивает:</w:t>
            </w:r>
          </w:p>
          <w:p>
            <w:pPr>
              <w:pStyle w:val="Normal"/>
              <w:widowControl w:val="false"/>
              <w:tabs>
                <w:tab w:val="clear" w:pos="245"/>
                <w:tab w:val="left" w:pos="851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участие своего персонала, допускаемого к выполнению работ на объектах Заказчика, в том числе в электроустановках Заказчика, в получении вводного инструктажа и первичного инструктажа на рабочем месте, проводимых персоналом Заказчика;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 xml:space="preserve">е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Приложения №2.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2"/>
              </w:numPr>
              <w:snapToGrid w:val="false"/>
              <w:spacing w:before="60" w:after="60"/>
              <w:ind w:left="360" w:right="0" w:hanging="360"/>
              <w:contextualSpacing/>
              <w:jc w:val="center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/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Style15"/>
                <w:rFonts w:ascii="Liberation Serif" w:hAnsi="Liberation Serif"/>
                <w:b w:val="false"/>
                <w:bCs/>
                <w:i w:val="false"/>
                <w:sz w:val="24"/>
                <w:szCs w:val="24"/>
                <w:shd w:fill="auto" w:val="clear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2.1.1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Ежемесячная сдача-приемка объемов выполненных работ на объекте Заказчика производится в срок до 25 числа отчетного месяца.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Приемка выполненных работ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1013. 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2.1.2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оформляет и передает Заказчику подписанный со своей стороны Акт о приемке выполненных работ по форме КС2 в 2 (двух) экземплярах с приложением приемо-сдаточной и исполнительной документации: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акты освидетельствования скрытых работ в 3 (трех) экз.;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фотоотчет о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выполненных работах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(в т.ч. скрытых), в эл. виде.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 окончании выполнения работ Подрядчик предоставляет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исполнительные схемы; паспорта на оборудование и конструкции, сертификаты соответствия на материалы;  иная необходимая документация, предусмотренная нормативными документами.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2.1.3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Приемка объемов выполненных работ производится при предъявлении подтверждающей Справки по выполнению физических объем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>ов (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Приложение № 3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>), с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2"/>
              </w:numPr>
              <w:snapToGrid w:val="false"/>
              <w:spacing w:before="60" w:after="60"/>
              <w:ind w:left="360" w:right="0" w:hanging="36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20"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3.1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Гарантия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оговаривается в Договоре подряда.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гарантирует своевременное и качественное выполнение работ, а также устранение дефектов выполненных работ в течение гарантийного срока - 24 (двадцать четыре) месяца с даты подписания Акта  приемки выполненных работ (Акт КС2).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Гарантия качества на материалы, поставляемые Подрядчиком, составляет 24 (двадцать четыре) месяца с даты подписания Акта  приемки выполненных работ (Акт КС2).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sz w:val="24"/>
          <w:szCs w:val="24"/>
          <w:lang w:val="ru-RU"/>
        </w:rPr>
      </w:pPr>
      <w:bookmarkStart w:id="9" w:name="__RefHeading___Toc1263149671"/>
      <w:bookmarkEnd w:id="9"/>
      <w:r>
        <w:rPr>
          <w:rFonts w:ascii="Liberation Serif" w:hAnsi="Liberation Serif"/>
          <w:sz w:val="24"/>
          <w:szCs w:val="24"/>
          <w:lang w:val="ru-RU"/>
        </w:rPr>
        <w:t>3. Требования к документации по ценообразованию на этапе закупки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ascii="Liberation Serif" w:hAnsi="Liberation Serif"/>
          <w:b w:val="false"/>
          <w:sz w:val="24"/>
          <w:szCs w:val="24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>
        <w:rPr>
          <w:rFonts w:ascii="Liberation Serif" w:hAnsi="Liberation Serif"/>
          <w:b w:val="false"/>
          <w:sz w:val="24"/>
          <w:szCs w:val="24"/>
          <w:lang w:val="ru-RU" w:eastAsia="ru-RU"/>
        </w:rPr>
        <w:t>У</w:t>
      </w:r>
      <w:r>
        <w:rPr>
          <w:rFonts w:ascii="Liberation Serif" w:hAnsi="Liberation Serif"/>
          <w:b w:val="false"/>
          <w:sz w:val="24"/>
          <w:szCs w:val="24"/>
          <w:lang w:eastAsia="ru-RU"/>
        </w:rPr>
        <w:t>частник</w:t>
      </w:r>
      <w:r>
        <w:rPr>
          <w:rFonts w:ascii="Liberation Serif" w:hAnsi="Liberation Serif"/>
          <w:b w:val="false"/>
          <w:sz w:val="24"/>
          <w:szCs w:val="24"/>
          <w:shd w:fill="auto" w:val="clear"/>
          <w:lang w:eastAsia="ru-RU"/>
        </w:rPr>
        <w:t>а</w:t>
      </w:r>
      <w:r>
        <w:rPr>
          <w:rFonts w:ascii="Liberation Serif" w:hAnsi="Liberation Serif"/>
          <w:b w:val="false"/>
          <w:sz w:val="24"/>
          <w:szCs w:val="24"/>
          <w:shd w:fill="auto" w:val="clear"/>
        </w:rPr>
        <w:t xml:space="preserve"> (</w:t>
      </w:r>
      <w:r>
        <w:rPr>
          <w:rFonts w:ascii="Liberation Serif" w:hAnsi="Liberation Serif"/>
          <w:b/>
          <w:bCs/>
          <w:sz w:val="24"/>
          <w:szCs w:val="24"/>
          <w:shd w:fill="auto" w:val="clear"/>
        </w:rPr>
        <w:t xml:space="preserve">Приложение </w:t>
      </w:r>
      <w:r>
        <w:rPr>
          <w:rFonts w:ascii="Liberation Serif" w:hAnsi="Liberation Serif"/>
          <w:b/>
          <w:bCs/>
          <w:sz w:val="24"/>
          <w:szCs w:val="24"/>
          <w:shd w:fill="auto" w:val="clear"/>
          <w:lang w:val="ru-RU"/>
        </w:rPr>
        <w:t>4</w:t>
      </w:r>
      <w:r>
        <w:rPr>
          <w:rFonts w:ascii="Liberation Serif" w:hAnsi="Liberation Serif"/>
          <w:b w:val="false"/>
          <w:sz w:val="24"/>
          <w:szCs w:val="24"/>
          <w:shd w:fill="auto" w:val="clear"/>
        </w:rPr>
        <w:t>)</w:t>
      </w:r>
      <w:r>
        <w:rPr>
          <w:rFonts w:ascii="Liberation Serif" w:hAnsi="Liberation Serif"/>
          <w:b w:val="false"/>
          <w:sz w:val="24"/>
          <w:szCs w:val="24"/>
          <w:shd w:fill="auto" w:val="clear"/>
          <w:lang w:val="ru-RU"/>
        </w:rPr>
        <w:t>.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b w:val="false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sz w:val="24"/>
          <w:szCs w:val="24"/>
        </w:rPr>
      </w:pPr>
      <w:bookmarkStart w:id="10" w:name="__RefHeading___Toc1263149681"/>
      <w:bookmarkEnd w:id="10"/>
      <w:r>
        <w:rPr>
          <w:rFonts w:ascii="Liberation Serif" w:hAnsi="Liberation Serif"/>
          <w:sz w:val="24"/>
          <w:szCs w:val="24"/>
          <w:lang w:val="ru-RU"/>
        </w:rPr>
        <w:t>4. Требования к документации по ценообразованию на этапе заключения договора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4.1. </w:t>
      </w:r>
      <w:bookmarkStart w:id="11" w:name="__RefHeading___Toc1263149691"/>
      <w:r>
        <w:rPr>
          <w:rFonts w:ascii="Liberation Serif" w:hAnsi="Liberation Serif"/>
          <w:b w:val="false"/>
          <w:sz w:val="24"/>
          <w:szCs w:val="24"/>
        </w:rPr>
        <w:t xml:space="preserve">Сметная документация разработана </w:t>
      </w:r>
      <w:r>
        <w:rPr>
          <w:rFonts w:ascii="Liberation Serif" w:hAnsi="Liberation Serif"/>
          <w:b w:val="false"/>
          <w:sz w:val="24"/>
          <w:szCs w:val="24"/>
          <w:lang w:val="ru-RU"/>
        </w:rPr>
        <w:t>З</w:t>
      </w:r>
      <w:r>
        <w:rPr>
          <w:rFonts w:ascii="Liberation Serif" w:hAnsi="Liberation Serif"/>
          <w:b w:val="false"/>
          <w:sz w:val="24"/>
          <w:szCs w:val="24"/>
        </w:rPr>
        <w:t>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4.2. Внесение изменений в сметную документацию </w:t>
      </w:r>
      <w:r>
        <w:rPr>
          <w:rFonts w:ascii="Liberation Serif" w:hAnsi="Liberation Serif"/>
          <w:b w:val="false"/>
          <w:sz w:val="24"/>
          <w:szCs w:val="24"/>
          <w:lang w:val="ru-RU"/>
        </w:rPr>
        <w:t>З</w:t>
      </w:r>
      <w:r>
        <w:rPr>
          <w:rFonts w:ascii="Liberation Serif" w:hAnsi="Liberation Serif"/>
          <w:b w:val="false"/>
          <w:sz w:val="24"/>
          <w:szCs w:val="24"/>
        </w:rPr>
        <w:t>аказчика, кроме применения понижающего коэффициента в соответствии с п. 4.1, не допускается.</w:t>
      </w:r>
    </w:p>
    <w:p>
      <w:pPr>
        <w:pStyle w:val="Normal"/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</w:r>
    </w:p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>5. Приложения</w:t>
      </w:r>
      <w:bookmarkEnd w:id="11"/>
    </w:p>
    <w:p>
      <w:pPr>
        <w:pStyle w:val="Normal"/>
        <w:numPr>
          <w:ilvl w:val="0"/>
          <w:numId w:val="0"/>
        </w:numPr>
        <w:tabs>
          <w:tab w:val="clear" w:pos="245"/>
          <w:tab w:val="left" w:pos="75" w:leader="none"/>
        </w:tabs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1.1-1.</w:t>
      </w:r>
      <w:r>
        <w:rPr>
          <w:rFonts w:ascii="Liberation Serif" w:hAnsi="Liberation Serif"/>
          <w:i w:val="false"/>
          <w:iCs w:val="false"/>
          <w:sz w:val="24"/>
          <w:szCs w:val="24"/>
        </w:rPr>
        <w:t>5</w:t>
      </w:r>
      <w:r>
        <w:rPr>
          <w:rFonts w:ascii="Liberation Serif" w:hAnsi="Liberation Serif"/>
          <w:i w:val="false"/>
          <w:iCs w:val="false"/>
          <w:sz w:val="24"/>
          <w:szCs w:val="24"/>
        </w:rPr>
        <w:t>. Ведомости дефектов и объемов работ;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2. Согласие на обработку персональных данных;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3. Справка по объемам выполненных работ;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4. 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5.1.-5.</w:t>
      </w:r>
      <w:r>
        <w:rPr>
          <w:rFonts w:ascii="Liberation Serif" w:hAnsi="Liberation Serif"/>
          <w:i w:val="false"/>
          <w:iCs w:val="false"/>
          <w:sz w:val="24"/>
          <w:szCs w:val="24"/>
        </w:rPr>
        <w:t>5</w:t>
      </w:r>
      <w:r>
        <w:rPr>
          <w:rFonts w:ascii="Liberation Serif" w:hAnsi="Liberation Serif"/>
          <w:i w:val="false"/>
          <w:iCs w:val="false"/>
          <w:sz w:val="24"/>
          <w:szCs w:val="24"/>
        </w:rPr>
        <w:t>. Сметные расчеты.</w:t>
      </w:r>
    </w:p>
    <w:p>
      <w:pPr>
        <w:pStyle w:val="Normal"/>
        <w:bidi w:val="0"/>
        <w:spacing w:lineRule="auto" w:line="276" w:before="0" w:after="0"/>
        <w:ind w:left="0" w:right="0" w:hanging="0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5.</w:t>
      </w:r>
      <w:r>
        <w:rPr>
          <w:rFonts w:ascii="Liberation Serif" w:hAnsi="Liberation Serif"/>
          <w:i w:val="false"/>
          <w:iCs w:val="false"/>
          <w:sz w:val="24"/>
          <w:szCs w:val="24"/>
        </w:rPr>
        <w:t>6</w:t>
      </w:r>
      <w:r>
        <w:rPr>
          <w:rFonts w:ascii="Liberation Serif" w:hAnsi="Liberation Serif"/>
          <w:i w:val="false"/>
          <w:iCs w:val="false"/>
          <w:sz w:val="24"/>
          <w:szCs w:val="24"/>
        </w:rPr>
        <w:t>. Реестр сметной стоимости.</w:t>
      </w:r>
    </w:p>
    <w:sectPr>
      <w:headerReference w:type="default" r:id="rId2"/>
      <w:type w:val="nextPage"/>
      <w:pgSz w:w="11906" w:h="16838"/>
      <w:pgMar w:left="1134" w:right="707" w:gutter="0" w:header="680" w:top="1134" w:footer="0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22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b w:val="false"/>
        <w:iCs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9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0"/>
  <w:displayBackgroundShape/>
  <w:defaultTabStop w:val="245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zh-CN" w:bidi="ar-SA"/>
    </w:rPr>
  </w:style>
  <w:style w:type="paragraph" w:styleId="Heading1">
    <w:name w:val="Heading 1"/>
    <w:basedOn w:val="Heading3"/>
    <w:next w:val="Normal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qFormat/>
    <w:pPr>
      <w:numPr>
        <w:ilvl w:val="1"/>
        <w:numId w:val="1"/>
      </w:numPr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ru-RU"/>
    </w:rPr>
  </w:style>
  <w:style w:type="paragraph" w:styleId="Heading4">
    <w:name w:val="Heading 4"/>
    <w:basedOn w:val="Heading3"/>
    <w:next w:val="Normal"/>
    <w:qFormat/>
    <w:pPr>
      <w:numPr>
        <w:ilvl w:val="3"/>
        <w:numId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 w:cs="Cambria"/>
      <w:i/>
      <w:iCs/>
      <w:color w:val="243F60"/>
      <w:sz w:val="20"/>
      <w:szCs w:val="20"/>
      <w:lang w:val="ru-RU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 w:cs="Cambria"/>
      <w:i/>
      <w:iCs/>
      <w:color w:val="404040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 w:cs="Cambria"/>
      <w:color w:val="4F81BD"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 w:cs="Arial"/>
      <w:sz w:val="22"/>
      <w:szCs w:val="22"/>
      <w:lang w:val="ru-RU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b/>
      <w:bCs w:val="false"/>
      <w:sz w:val="24"/>
      <w:szCs w:val="24"/>
    </w:rPr>
  </w:style>
  <w:style w:type="character" w:styleId="WW8Num5z1">
    <w:name w:val="WW8Num5z1"/>
    <w:qFormat/>
    <w:rPr>
      <w:b w:val="false"/>
      <w:bCs/>
      <w:sz w:val="24"/>
      <w:szCs w:val="24"/>
    </w:rPr>
  </w:style>
  <w:style w:type="character" w:styleId="WW8Num5z2">
    <w:name w:val="WW8Num5z2"/>
    <w:qFormat/>
    <w:rPr>
      <w:sz w:val="24"/>
      <w:szCs w:val="24"/>
    </w:rPr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4">
    <w:name w:val="WW8Num8z4"/>
    <w:qFormat/>
    <w:rPr>
      <w:rFonts w:ascii="Times New Roman" w:hAnsi="Times New Roman" w:cs="Times New Roman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 w:val="false"/>
      <w:bCs w:val="false"/>
      <w:i/>
      <w:iCs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i/>
      <w:sz w:val="24"/>
      <w:szCs w:val="24"/>
    </w:rPr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2"/>
      <w:position w:val="0"/>
      <w:sz w:val="28"/>
      <w:sz w:val="28"/>
      <w:szCs w:val="28"/>
      <w:u w:val="none"/>
      <w:vertAlign w:val="baseline"/>
      <w:em w:val="none"/>
    </w:rPr>
  </w:style>
  <w:style w:type="character" w:styleId="WW8Num16z1">
    <w:name w:val="WW8Num16z1"/>
    <w:qFormat/>
    <w:rPr>
      <w:b/>
      <w:bCs/>
      <w:i w:val="false"/>
      <w:iCs/>
      <w:sz w:val="24"/>
      <w:szCs w:val="24"/>
    </w:rPr>
  </w:style>
  <w:style w:type="character" w:styleId="WW8Num16z2">
    <w:name w:val="WW8Num16z2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>
      <w:rFonts w:ascii="Times New Roman" w:hAnsi="Times New Roman" w:cs="Times New Roman"/>
      <w:sz w:val="28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i/>
      <w:sz w:val="24"/>
      <w:szCs w:val="24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Times New Roman" w:hAnsi="Times New Roman" w:eastAsia="Calibri" w:cs="Times New Roman"/>
    </w:rPr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i/>
      <w:sz w:val="24"/>
      <w:szCs w:val="24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Cs/>
      <w:i/>
      <w:iCs/>
      <w:color w:val="000000"/>
      <w:sz w:val="24"/>
      <w:szCs w:val="24"/>
    </w:rPr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Style">
    <w:name w:val="Основной шрифт абзаца"/>
    <w:qFormat/>
    <w:rPr/>
  </w:style>
  <w:style w:type="character" w:styleId="Style1">
    <w:name w:val="Символ сноски"/>
    <w:qFormat/>
    <w:rPr>
      <w:vertAlign w:val="superscript"/>
    </w:rPr>
  </w:style>
  <w:style w:type="character" w:styleId="PageNumber">
    <w:name w:val="Page Number"/>
    <w:basedOn w:val="Style"/>
    <w:rPr/>
  </w:style>
  <w:style w:type="character" w:styleId="Hyperlink">
    <w:name w:val="Hyperlink"/>
    <w:rPr>
      <w:color w:val="0000FF"/>
      <w:u w:val="single"/>
    </w:rPr>
  </w:style>
  <w:style w:type="character" w:styleId="Style2">
    <w:name w:val="Знак примечания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>
    <w:name w:val="Заголовок 6 Знак"/>
    <w:qFormat/>
    <w:rPr>
      <w:rFonts w:ascii="Cambria" w:hAnsi="Cambria" w:cs="Cambria"/>
      <w:i/>
      <w:iCs/>
      <w:color w:val="243F60"/>
      <w:lang w:val="ru-RU"/>
    </w:rPr>
  </w:style>
  <w:style w:type="character" w:styleId="7">
    <w:name w:val="Заголовок 7 Знак"/>
    <w:qFormat/>
    <w:rPr>
      <w:rFonts w:ascii="Cambria" w:hAnsi="Cambria" w:cs="Cambria"/>
      <w:i/>
      <w:iCs/>
      <w:color w:val="404040"/>
      <w:lang w:val="ru-RU"/>
    </w:rPr>
  </w:style>
  <w:style w:type="character" w:styleId="8">
    <w:name w:val="Заголовок 8 Знак"/>
    <w:qFormat/>
    <w:rPr>
      <w:rFonts w:ascii="Cambria" w:hAnsi="Cambria" w:cs="Cambria"/>
      <w:color w:val="4F81BD"/>
      <w:lang w:val="ru-RU"/>
    </w:rPr>
  </w:style>
  <w:style w:type="character" w:styleId="1">
    <w:name w:val="Заголовок 1 Знак"/>
    <w:qFormat/>
    <w:rPr>
      <w:rFonts w:eastAsia="Calibri"/>
      <w:b/>
      <w:sz w:val="28"/>
      <w:szCs w:val="28"/>
      <w:lang w:val="ru-RU"/>
    </w:rPr>
  </w:style>
  <w:style w:type="character" w:styleId="2">
    <w:name w:val="Заголовок 2 Знак"/>
    <w:qFormat/>
    <w:rPr>
      <w:rFonts w:eastAsia="Calibri"/>
      <w:b/>
      <w:bCs/>
      <w:sz w:val="24"/>
      <w:szCs w:val="24"/>
      <w:lang w:val="ru-RU"/>
    </w:rPr>
  </w:style>
  <w:style w:type="character" w:styleId="3">
    <w:name w:val="Заголовок 3 Знак"/>
    <w:qFormat/>
    <w:rPr>
      <w:rFonts w:eastAsia="Calibri"/>
      <w:b/>
      <w:sz w:val="24"/>
      <w:szCs w:val="24"/>
      <w:lang w:val="ru-RU"/>
    </w:rPr>
  </w:style>
  <w:style w:type="character" w:styleId="4">
    <w:name w:val="Заголовок 4 Знак"/>
    <w:qFormat/>
    <w:rPr>
      <w:rFonts w:eastAsia="Calibri"/>
      <w:b/>
      <w:bCs/>
      <w:sz w:val="24"/>
      <w:szCs w:val="24"/>
      <w:lang w:val="ru-RU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3">
    <w:name w:val="Название Знак"/>
    <w:qFormat/>
    <w:rPr>
      <w:sz w:val="28"/>
    </w:rPr>
  </w:style>
  <w:style w:type="character" w:styleId="Style4">
    <w:name w:val="Подзаголовок Знак"/>
    <w:qFormat/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qFormat/>
    <w:rPr>
      <w:rFonts w:ascii="Calibri" w:hAnsi="Calibri" w:eastAsia="Calibri" w:cs="Calibri"/>
      <w:i/>
      <w:iCs/>
      <w:color w:val="000000"/>
      <w:lang w:val="ru-RU"/>
    </w:rPr>
  </w:style>
  <w:style w:type="character" w:styleId="Style5">
    <w:name w:val="Выделенная цитата Знак"/>
    <w:qFormat/>
    <w:rPr>
      <w:rFonts w:ascii="Calibri" w:hAnsi="Calibri" w:eastAsia="Calibri" w:cs="Calibri"/>
      <w:b/>
      <w:bCs/>
      <w:i/>
      <w:iCs/>
      <w:color w:val="4F81BD"/>
      <w:lang w:val="ru-RU"/>
    </w:rPr>
  </w:style>
  <w:style w:type="character" w:styleId="Style6">
    <w:name w:val="Слабое выделение"/>
    <w:qFormat/>
    <w:rPr>
      <w:i/>
      <w:iCs/>
      <w:color w:val="808080"/>
    </w:rPr>
  </w:style>
  <w:style w:type="character" w:styleId="Style7">
    <w:name w:val="Сильное выделение"/>
    <w:qFormat/>
    <w:rPr>
      <w:b/>
      <w:bCs/>
      <w:i/>
      <w:iCs/>
      <w:color w:val="4F81BD"/>
    </w:rPr>
  </w:style>
  <w:style w:type="character" w:styleId="Style8">
    <w:name w:val="Слабая ссылка"/>
    <w:qFormat/>
    <w:rPr>
      <w:smallCaps/>
      <w:color w:val="C0504D"/>
      <w:u w:val="single"/>
    </w:rPr>
  </w:style>
  <w:style w:type="character" w:styleId="Style9">
    <w:name w:val="Сильная ссылка"/>
    <w:qFormat/>
    <w:rPr>
      <w:b/>
      <w:bCs/>
      <w:smallCaps/>
      <w:color w:val="C0504D"/>
      <w:spacing w:val="5"/>
      <w:u w:val="single"/>
    </w:rPr>
  </w:style>
  <w:style w:type="character" w:styleId="Style10">
    <w:name w:val="Название книги"/>
    <w:qFormat/>
    <w:rPr>
      <w:b/>
      <w:bCs/>
      <w:smallCaps/>
      <w:spacing w:val="5"/>
    </w:rPr>
  </w:style>
  <w:style w:type="character" w:styleId="Style11">
    <w:name w:val="Электронная подпись Знак"/>
    <w:qFormat/>
    <w:rPr>
      <w:rFonts w:eastAsia="Calibri"/>
      <w:sz w:val="24"/>
      <w:szCs w:val="24"/>
    </w:rPr>
  </w:style>
  <w:style w:type="character" w:styleId="11">
    <w:name w:val="Подпункт Знак1"/>
    <w:qFormat/>
    <w:rPr>
      <w:sz w:val="28"/>
    </w:rPr>
  </w:style>
  <w:style w:type="character" w:styleId="Style12">
    <w:name w:val="Текст сноски Знак"/>
    <w:qFormat/>
    <w:rPr/>
  </w:style>
  <w:style w:type="character" w:styleId="Style13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4">
    <w:name w:val="Абзац списка Знак"/>
    <w:qFormat/>
    <w:rPr>
      <w:rFonts w:eastAsia="Calibri"/>
      <w:sz w:val="24"/>
      <w:szCs w:val="24"/>
    </w:rPr>
  </w:style>
  <w:style w:type="character" w:styleId="Style15">
    <w:name w:val="комментарий"/>
    <w:qFormat/>
    <w:rPr>
      <w:b/>
      <w:i/>
      <w:shd w:fill="FFFF99" w:val="clear"/>
    </w:rPr>
  </w:style>
  <w:style w:type="character" w:styleId="Style16">
    <w:name w:val="Подподпункт Знак"/>
    <w:qFormat/>
    <w:rPr>
      <w:sz w:val="26"/>
      <w:szCs w:val="26"/>
    </w:rPr>
  </w:style>
  <w:style w:type="character" w:styleId="31">
    <w:name w:val="УРОВЕНЬ_Абзац_тип3 Знак"/>
    <w:qFormat/>
    <w:rPr>
      <w:rFonts w:eastAsia="Calibri"/>
      <w:sz w:val="26"/>
      <w:szCs w:val="28"/>
    </w:rPr>
  </w:style>
  <w:style w:type="character" w:styleId="Style17">
    <w:name w:val="Верхний колонтитул Знак"/>
    <w:qFormat/>
    <w:rPr>
      <w:sz w:val="24"/>
      <w:szCs w:val="24"/>
    </w:rPr>
  </w:style>
  <w:style w:type="character" w:styleId="Style18">
    <w:name w:val="Текст примечания Знак"/>
    <w:qFormat/>
    <w:rPr/>
  </w:style>
  <w:style w:type="character" w:styleId="Style19">
    <w:name w:val="Текст концевой сноски Знак"/>
    <w:basedOn w:val="Style"/>
    <w:qFormat/>
    <w:rPr/>
  </w:style>
  <w:style w:type="character" w:styleId="Style20">
    <w:name w:val="Символ концевой сноски"/>
    <w:qFormat/>
    <w:rPr>
      <w:vertAlign w:val="superscript"/>
    </w:rPr>
  </w:style>
  <w:style w:type="character" w:styleId="22">
    <w:name w:val="Пункт2 Знак"/>
    <w:qFormat/>
    <w:rPr>
      <w:b/>
      <w:sz w:val="28"/>
    </w:rPr>
  </w:style>
  <w:style w:type="character" w:styleId="12">
    <w:name w:val="УРОВЕНЬ_1. Знак"/>
    <w:qFormat/>
    <w:rPr>
      <w:rFonts w:eastAsia="Calibri"/>
      <w:caps/>
      <w:sz w:val="28"/>
      <w:szCs w:val="28"/>
    </w:rPr>
  </w:style>
  <w:style w:type="character" w:styleId="13">
    <w:name w:val="Неразрешенное упоминание1"/>
    <w:qFormat/>
    <w:rPr>
      <w:color w:val="605E5C"/>
      <w:shd w:fill="E1DFDD" w:val="clear"/>
    </w:rPr>
  </w:style>
  <w:style w:type="character" w:styleId="32">
    <w:name w:val="Основной текст с отступом 3 Знак"/>
    <w:qFormat/>
    <w:rPr>
      <w:sz w:val="16"/>
      <w:szCs w:val="16"/>
    </w:rPr>
  </w:style>
  <w:style w:type="character" w:styleId="Style21">
    <w:name w:val="Маркеры"/>
    <w:qFormat/>
    <w:rPr>
      <w:rFonts w:ascii="OpenSymbol;Arial Unicode MS" w:hAnsi="OpenSymbol;Arial Unicode MS" w:eastAsia="OpenSymbol;Arial Unicode MS" w:cs="OpenSymbol;Arial Unicode MS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Cs/>
      <w:i/>
      <w:iCs/>
      <w:color w:val="000000"/>
      <w:sz w:val="23"/>
      <w:szCs w:val="23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Style22">
    <w:name w:val="Ссылка указателя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1">
    <w:name w:val="endnote reference1"/>
    <w:basedOn w:val="DefaultParagraphFont"/>
    <w:qFormat/>
    <w:rPr>
      <w:vertAlign w:val="superscript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Strong1">
    <w:name w:val="Strong1"/>
    <w:qFormat/>
    <w:rPr>
      <w:b/>
      <w:bCs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Pagenumber1">
    <w:name w:val="page number1"/>
    <w:basedOn w:val="DefaultParagraphFont"/>
    <w:qFormat/>
    <w:rPr/>
  </w:style>
  <w:style w:type="character" w:styleId="Footnotereference1">
    <w:name w:val="footnote reference1"/>
    <w:qFormat/>
    <w:rPr>
      <w:vertAlign w:val="superscript"/>
    </w:rPr>
  </w:style>
  <w:style w:type="character" w:styleId="DefaultParagraphFont">
    <w:name w:val="Default Paragraph Font"/>
    <w:qFormat/>
    <w:rPr/>
  </w:style>
  <w:style w:type="character" w:styleId="EndnoteReference">
    <w:name w:val="Endnote Reference"/>
    <w:rPr>
      <w:vertAlign w:val="superscript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Название раздела инструкции"/>
    <w:basedOn w:val="Normal"/>
    <w:qFormat/>
    <w:pPr>
      <w:jc w:val="center"/>
    </w:pPr>
    <w:rPr>
      <w:b/>
    </w:rPr>
  </w:style>
  <w:style w:type="paragraph" w:styleId="Style26">
    <w:name w:val="Раздел положения"/>
    <w:basedOn w:val="Normal"/>
    <w:qFormat/>
    <w:pPr>
      <w:numPr>
        <w:ilvl w:val="0"/>
        <w:numId w:val="8"/>
      </w:numPr>
      <w:spacing w:before="80" w:after="80"/>
      <w:jc w:val="center"/>
    </w:pPr>
    <w:rPr>
      <w:b/>
      <w:sz w:val="32"/>
      <w:szCs w:val="32"/>
    </w:rPr>
  </w:style>
  <w:style w:type="paragraph" w:styleId="Style27">
    <w:name w:val="Подраздел раздела положения"/>
    <w:basedOn w:val="Normal"/>
    <w:qFormat/>
    <w:pPr>
      <w:numPr>
        <w:ilvl w:val="0"/>
        <w:numId w:val="8"/>
      </w:num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4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>
    <w:name w:val="Название1"/>
    <w:basedOn w:val="Normal"/>
    <w:qFormat/>
    <w:pPr>
      <w:jc w:val="center"/>
    </w:pPr>
    <w:rPr>
      <w:szCs w:val="20"/>
      <w:lang w:val="ru-RU"/>
    </w:rPr>
  </w:style>
  <w:style w:type="paragraph" w:styleId="Style28">
    <w:name w:val="Колонтитул"/>
    <w:basedOn w:val="Normal"/>
    <w:qFormat/>
    <w:pPr/>
    <w:rPr/>
  </w:style>
  <w:style w:type="paragraph" w:styleId="Header">
    <w:name w:val="Header"/>
    <w:basedOn w:val="Normal"/>
    <w:pPr/>
    <w:rPr>
      <w:sz w:val="24"/>
      <w:szCs w:val="24"/>
    </w:rPr>
  </w:style>
  <w:style w:type="paragraph" w:styleId="BodyTextIndent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Footer">
    <w:name w:val="Footer"/>
    <w:basedOn w:val="Normal"/>
    <w:pPr/>
    <w:rPr/>
  </w:style>
  <w:style w:type="paragraph" w:styleId="24">
    <w:name w:val="Основной текст с отступом 2"/>
    <w:basedOn w:val="Normal"/>
    <w:qFormat/>
    <w:pPr>
      <w:spacing w:lineRule="auto" w:line="480" w:before="0" w:after="120"/>
      <w:ind w:left="283" w:right="0" w:hanging="0"/>
    </w:pPr>
    <w:rPr/>
  </w:style>
  <w:style w:type="paragraph" w:styleId="34">
    <w:name w:val="Основной текст 3"/>
    <w:basedOn w:val="Normal"/>
    <w:qFormat/>
    <w:pPr>
      <w:spacing w:before="0" w:after="120"/>
    </w:pPr>
    <w:rPr>
      <w:sz w:val="16"/>
      <w:szCs w:val="16"/>
    </w:rPr>
  </w:style>
  <w:style w:type="paragraph" w:styleId="35">
    <w:name w:val="Основной текст с отступом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25">
    <w:name w:val="Основной текст 2"/>
    <w:basedOn w:val="Normal"/>
    <w:qFormat/>
    <w:pPr>
      <w:spacing w:lineRule="auto" w:line="480" w:before="0" w:after="120"/>
    </w:pPr>
    <w:rPr/>
  </w:style>
  <w:style w:type="paragraph" w:styleId="Style29">
    <w:name w:val="Цитата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0">
    <w:name w:val="Подпункт"/>
    <w:basedOn w:val="Normal"/>
    <w:qFormat/>
    <w:pPr>
      <w:snapToGrid w:val="false"/>
      <w:spacing w:lineRule="auto" w:line="360"/>
      <w:ind w:left="1134" w:right="0" w:hanging="1134"/>
      <w:jc w:val="both"/>
    </w:pPr>
    <w:rPr>
      <w:szCs w:val="20"/>
      <w:lang w:val="ru-RU"/>
    </w:rPr>
  </w:style>
  <w:style w:type="paragraph" w:styleId="26">
    <w:name w:val="Пункт2"/>
    <w:basedOn w:val="Normal"/>
    <w:qFormat/>
    <w:pPr>
      <w:keepNext w:val="true"/>
      <w:numPr>
        <w:ilvl w:val="0"/>
        <w:numId w:val="0"/>
      </w:numPr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pPr>
      <w:spacing w:before="120" w:after="0"/>
    </w:pPr>
    <w:rPr>
      <w:rFonts w:cs="Calibri Light (Заголовки);Calibri Light"/>
      <w:b/>
      <w:bCs/>
      <w:sz w:val="24"/>
      <w:szCs w:val="24"/>
    </w:rPr>
  </w:style>
  <w:style w:type="paragraph" w:styleId="TOC3">
    <w:name w:val="TOC 3"/>
    <w:basedOn w:val="Normal"/>
    <w:next w:val="Normal"/>
    <w:pPr>
      <w:ind w:left="567" w:right="0" w:hanging="0"/>
    </w:pPr>
    <w:rPr>
      <w:rFonts w:cs="Calibri"/>
      <w:sz w:val="20"/>
      <w:szCs w:val="20"/>
    </w:rPr>
  </w:style>
  <w:style w:type="paragraph" w:styleId="Style31">
    <w:name w:val="Раздел регламента"/>
    <w:basedOn w:val="Normal"/>
    <w:qFormat/>
    <w:pPr/>
    <w:rPr/>
  </w:style>
  <w:style w:type="paragraph" w:styleId="Style32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pPr>
      <w:spacing w:before="240" w:after="0"/>
    </w:pPr>
    <w:rPr>
      <w:rFonts w:cs="Calibri"/>
      <w:b/>
      <w:bCs/>
      <w:sz w:val="20"/>
      <w:szCs w:val="20"/>
    </w:rPr>
  </w:style>
  <w:style w:type="paragraph" w:styleId="Style3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4">
    <w:name w:val="Текст примечания"/>
    <w:basedOn w:val="Normal"/>
    <w:qFormat/>
    <w:pPr/>
    <w:rPr>
      <w:sz w:val="20"/>
      <w:szCs w:val="20"/>
    </w:rPr>
  </w:style>
  <w:style w:type="paragraph" w:styleId="Style35">
    <w:name w:val="Тема примечания"/>
    <w:basedOn w:val="Style34"/>
    <w:next w:val="Style34"/>
    <w:qFormat/>
    <w:pPr/>
    <w:rPr>
      <w:b/>
      <w:bCs/>
    </w:rPr>
  </w:style>
  <w:style w:type="paragraph" w:styleId="16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pPr>
      <w:ind w:left="560" w:right="0" w:hanging="0"/>
    </w:pPr>
    <w:rPr>
      <w:rFonts w:cs="Calibri"/>
      <w:sz w:val="20"/>
      <w:szCs w:val="20"/>
    </w:rPr>
  </w:style>
  <w:style w:type="paragraph" w:styleId="27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36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37">
    <w:name w:val="Без интервала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tyle38">
    <w:name w:val="Название объекта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qFormat/>
    <w:pPr>
      <w:ind w:left="1066" w:right="0" w:firstLine="709"/>
    </w:pPr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paragraph" w:styleId="Style39">
    <w:name w:val="Абзац списка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28">
    <w:name w:val="Цитата 2"/>
    <w:basedOn w:val="Normal"/>
    <w:next w:val="Normal"/>
    <w:qFormat/>
    <w:pPr/>
    <w:rPr>
      <w:rFonts w:ascii="Calibri" w:hAnsi="Calibri" w:eastAsia="Calibri" w:cs="Calibri"/>
      <w:i/>
      <w:iCs/>
      <w:color w:val="000000"/>
      <w:sz w:val="20"/>
      <w:szCs w:val="20"/>
      <w:lang w:val="ru-RU"/>
    </w:rPr>
  </w:style>
  <w:style w:type="paragraph" w:styleId="Style40">
    <w:name w:val="Выделенная цитата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Calibri"/>
      <w:b/>
      <w:bCs/>
      <w:i/>
      <w:iCs/>
      <w:color w:val="4F81BD"/>
      <w:sz w:val="20"/>
      <w:szCs w:val="20"/>
      <w:lang w:val="ru-RU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 w:cs="Cambria"/>
      <w:bCs/>
      <w:color w:val="365F91"/>
    </w:rPr>
  </w:style>
  <w:style w:type="paragraph" w:styleId="Style41">
    <w:name w:val="Электронная подпись"/>
    <w:basedOn w:val="Normal"/>
    <w:qFormat/>
    <w:pPr/>
    <w:rPr>
      <w:rFonts w:eastAsia="Calibri"/>
      <w:sz w:val="24"/>
      <w:szCs w:val="24"/>
      <w:lang w:val="ru-RU"/>
    </w:rPr>
  </w:style>
  <w:style w:type="paragraph" w:styleId="Style42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36">
    <w:name w:val="Нумерованный список ур3"/>
    <w:basedOn w:val="Normal"/>
    <w:qFormat/>
    <w:pPr>
      <w:numPr>
        <w:ilvl w:val="0"/>
        <w:numId w:val="10"/>
      </w:numPr>
      <w:jc w:val="both"/>
    </w:pPr>
    <w:rPr>
      <w:rFonts w:ascii="Garamond" w:hAnsi="Garamond" w:cs="Garamond"/>
      <w:sz w:val="24"/>
      <w:szCs w:val="20"/>
    </w:rPr>
  </w:style>
  <w:style w:type="paragraph" w:styleId="ListBullet4">
    <w:name w:val="List Bullet 4"/>
    <w:basedOn w:val="Normal"/>
    <w:pPr>
      <w:numPr>
        <w:ilvl w:val="0"/>
        <w:numId w:val="10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29">
    <w:name w:val="Нумерованный список ур2"/>
    <w:basedOn w:val="Normal"/>
    <w:qFormat/>
    <w:pPr>
      <w:numPr>
        <w:ilvl w:val="0"/>
        <w:numId w:val="10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Style43">
    <w:name w:val="Рецензия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zh-CN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37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44">
    <w:name w:val="Пункт"/>
    <w:basedOn w:val="Normal"/>
    <w:qFormat/>
    <w:pPr>
      <w:widowControl w:val="false"/>
      <w:spacing w:lineRule="auto" w:line="360" w:before="120" w:after="0"/>
      <w:ind w:left="1134" w:right="800" w:hanging="1134"/>
      <w:jc w:val="both"/>
    </w:pPr>
    <w:rPr>
      <w:rFonts w:ascii="Arial" w:hAnsi="Arial" w:cs="Arial"/>
      <w:b/>
      <w:i/>
      <w:szCs w:val="20"/>
    </w:rPr>
  </w:style>
  <w:style w:type="paragraph" w:styleId="17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sz w:val="22"/>
      <w:szCs w:val="22"/>
    </w:rPr>
  </w:style>
  <w:style w:type="paragraph" w:styleId="Style45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ru-RU"/>
    </w:rPr>
  </w:style>
  <w:style w:type="paragraph" w:styleId="Style46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>
    <w:name w:val="Подподпункт"/>
    <w:basedOn w:val="Style30"/>
    <w:qFormat/>
    <w:pPr>
      <w:snapToGrid w:val="true"/>
      <w:spacing w:lineRule="auto" w:line="240" w:before="120" w:after="0"/>
      <w:ind w:left="5104" w:right="0" w:hanging="567"/>
    </w:pPr>
    <w:rPr>
      <w:sz w:val="26"/>
      <w:szCs w:val="26"/>
      <w:lang w:val="ru-RU"/>
    </w:rPr>
  </w:style>
  <w:style w:type="paragraph" w:styleId="Style48">
    <w:name w:val="УРОВЕНЬ_(а)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</w:rPr>
  </w:style>
  <w:style w:type="paragraph" w:styleId="-">
    <w:name w:val="УРОВЕНЬ_-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</w:rPr>
  </w:style>
  <w:style w:type="paragraph" w:styleId="210">
    <w:name w:val="УРОВЕНЬ_Абзац_тип2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38">
    <w:name w:val="УРОВЕНЬ_Абзац_тип3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Style49">
    <w:name w:val="УРОВЕНЬ_Подпись"/>
    <w:basedOn w:val="Style39"/>
    <w:qFormat/>
    <w:pPr>
      <w:keepNext w:val="true"/>
      <w:numPr>
        <w:ilvl w:val="0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</w:rPr>
  </w:style>
  <w:style w:type="paragraph" w:styleId="18">
    <w:name w:val="Стиль Заголовок 1 + по ширине"/>
    <w:basedOn w:val="Heading1"/>
    <w:qFormat/>
    <w:pPr>
      <w:keepLines/>
      <w:numPr>
        <w:ilvl w:val="0"/>
        <w:numId w:val="0"/>
      </w:numPr>
      <w:suppressAutoHyphens w:val="true"/>
      <w:spacing w:before="480" w:after="240"/>
      <w:ind w:left="567" w:right="0" w:hanging="567"/>
      <w:jc w:val="both"/>
    </w:pPr>
    <w:rPr>
      <w:rFonts w:ascii="Arial" w:hAnsi="Arial" w:eastAsia="Times New Roman" w:cs="Arial"/>
      <w:bCs/>
      <w:kern w:val="2"/>
      <w:sz w:val="40"/>
      <w:szCs w:val="20"/>
      <w:lang w:val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11">
    <w:name w:val="Заголовок 2 КВВ"/>
    <w:basedOn w:val="Normal"/>
    <w:qFormat/>
    <w:pPr>
      <w:keepNext w:val="true"/>
      <w:numPr>
        <w:ilvl w:val="0"/>
        <w:numId w:val="9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50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Style51">
    <w:name w:val="Обычный (веб)"/>
    <w:basedOn w:val="Normal"/>
    <w:qFormat/>
    <w:pPr>
      <w:spacing w:before="280" w:after="280"/>
    </w:pPr>
    <w:rPr>
      <w:sz w:val="24"/>
      <w:szCs w:val="24"/>
    </w:rPr>
  </w:style>
  <w:style w:type="paragraph" w:styleId="19">
    <w:name w:val="УРОВЕНЬ_1."/>
    <w:basedOn w:val="Style39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</w:rPr>
  </w:style>
  <w:style w:type="paragraph" w:styleId="TOC6">
    <w:name w:val="TOC 6"/>
    <w:basedOn w:val="Normal"/>
    <w:next w:val="Normal"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PlainText1">
    <w:name w:val="Plain Text1"/>
    <w:basedOn w:val="Normal"/>
    <w:qFormat/>
    <w:pPr>
      <w:widowControl w:val="false"/>
    </w:pPr>
    <w:rPr>
      <w:rFonts w:ascii="Courier New" w:hAnsi="Courier New" w:cs="Courier New"/>
      <w:sz w:val="20"/>
      <w:szCs w:val="20"/>
    </w:rPr>
  </w:style>
  <w:style w:type="paragraph" w:styleId="Style52">
    <w:name w:val="Содержимое таблицы"/>
    <w:basedOn w:val="Normal"/>
    <w:qFormat/>
    <w:pPr>
      <w:suppressLineNumbers/>
    </w:pPr>
    <w:rPr/>
  </w:style>
  <w:style w:type="paragraph" w:styleId="Style53">
    <w:name w:val="Заголовок таблицы"/>
    <w:basedOn w:val="Style52"/>
    <w:qFormat/>
    <w:pPr>
      <w:suppressLineNumbers/>
      <w:jc w:val="center"/>
    </w:pPr>
    <w:rPr>
      <w:b/>
      <w:bCs/>
    </w:rPr>
  </w:style>
  <w:style w:type="paragraph" w:styleId="List31">
    <w:name w:val="List 31"/>
    <w:basedOn w:val="Normal"/>
    <w:qFormat/>
    <w:pPr>
      <w:numPr>
        <w:ilvl w:val="0"/>
        <w:numId w:val="4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TOCHeading1">
    <w:name w:val="TOC Heading1"/>
    <w:basedOn w:val="Heading1"/>
    <w:next w:val="Normal"/>
    <w:qFormat/>
    <w:pPr>
      <w:keepLines/>
      <w:spacing w:before="480" w:after="60"/>
    </w:pPr>
    <w:rPr>
      <w:rFonts w:ascii="Cambria" w:hAnsi="Cambria" w:cs="Cambria"/>
      <w:bCs/>
      <w:color w:val="365F91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Endnotetext1">
    <w:name w:val="endnote text1"/>
    <w:basedOn w:val="Normal"/>
    <w:qFormat/>
    <w:pPr/>
    <w:rPr>
      <w:sz w:val="20"/>
      <w:szCs w:val="20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Calibri" w:cs="Lohit Devanagari"/>
      <w:color w:val="auto"/>
      <w:kern w:val="0"/>
      <w:sz w:val="24"/>
      <w:szCs w:val="24"/>
      <w:lang w:val="ru-RU" w:eastAsia="zh-CN" w:bidi="hi-IN"/>
    </w:rPr>
  </w:style>
  <w:style w:type="paragraph" w:styleId="E-mailSignature">
    <w:name w:val="E-mail Signature"/>
    <w:basedOn w:val="Normal"/>
    <w:qFormat/>
    <w:pPr/>
    <w:rPr>
      <w:rFonts w:eastAsia="Calibri"/>
      <w:sz w:val="24"/>
      <w:szCs w:val="24"/>
      <w:lang w:val="x-none" w:eastAsia="x-none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Caption3">
    <w:name w:val="caption3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Footnotetext1">
    <w:name w:val="footnote text1"/>
    <w:basedOn w:val="Normal"/>
    <w:qFormat/>
    <w:pPr/>
    <w:rPr>
      <w:sz w:val="20"/>
      <w:szCs w:val="20"/>
    </w:rPr>
  </w:style>
  <w:style w:type="paragraph" w:styleId="EndnoteSymbol">
    <w:name w:val="Endnote Symbol"/>
    <w:basedOn w:val="Normal"/>
    <w:qFormat/>
    <w:pPr/>
    <w:rPr>
      <w:sz w:val="20"/>
      <w:szCs w:val="20"/>
    </w:rPr>
  </w:style>
  <w:style w:type="paragraph" w:styleId="ListBullet41">
    <w:name w:val="List Bullet 41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Caption11">
    <w:name w:val="caption11"/>
    <w:basedOn w:val="Normal"/>
    <w:qFormat/>
    <w:pPr/>
    <w:rPr>
      <w:rFonts w:eastAsia="Calibri"/>
      <w:b/>
      <w:bCs/>
      <w:color w:val="4F81BD"/>
      <w:sz w:val="18"/>
      <w:szCs w:val="18"/>
    </w:rPr>
  </w:style>
  <w:style w:type="numbering" w:styleId="Style54">
    <w:name w:val="Без списка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110">
    <w:name w:val="Стиль1"/>
    <w:qFormat/>
  </w:style>
  <w:style w:type="numbering" w:styleId="212">
    <w:name w:val="Стиль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1358</TotalTime>
  <Application>AlterOffice/3.3.1.3$Linux_X86_64 LibreOffice_project/90d829a0d92d6015ad4fa014ce4f460a7fe6c0ba</Application>
  <AppVersion>15.0000</AppVersion>
  <Pages>10</Pages>
  <Words>2627</Words>
  <Characters>18415</Characters>
  <CharactersWithSpaces>20722</CharactersWithSpaces>
  <Paragraphs>373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2023-06-13T15:15:00Z</dcterms:created>
  <dc:creator>Быстров Олег Геннадьевич</dc:creator>
  <dc:description/>
  <dc:language>ru-RU</dc:language>
  <cp:lastModifiedBy>irduganova_in</cp:lastModifiedBy>
  <cp:lastPrinted>2025-11-26T10:56:36Z</cp:lastPrinted>
  <dcterms:modified xsi:type="dcterms:W3CDTF">2026-05-13T16:36:50Z</dcterms:modified>
  <cp:revision>176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